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Муниципальное образование</w:t>
      </w:r>
    </w:p>
    <w:p w:rsidR="00967B57" w:rsidRPr="00A81D68" w:rsidRDefault="000463CF"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сельское поселение Цингалы</w:t>
      </w: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pacing w:val="-2"/>
          <w:sz w:val="27"/>
          <w:szCs w:val="27"/>
        </w:rPr>
        <w:t>АДМИНИСТРАЦИЯ СЕЛЬСКОГО ПОСЕЛЕНИЯ</w:t>
      </w: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r w:rsidRPr="00A81D68">
        <w:rPr>
          <w:rFonts w:ascii="Times New Roman" w:eastAsia="Times New Roman" w:hAnsi="Times New Roman" w:cs="Times New Roman"/>
          <w:spacing w:val="-2"/>
          <w:sz w:val="27"/>
          <w:szCs w:val="27"/>
        </w:rPr>
        <w:t>ПОСТАНОВЛЕНИЕ</w:t>
      </w:r>
      <w:r w:rsidR="000860D6" w:rsidRPr="00A81D68">
        <w:rPr>
          <w:rFonts w:ascii="Times New Roman" w:eastAsia="Times New Roman" w:hAnsi="Times New Roman" w:cs="Times New Roman"/>
          <w:spacing w:val="-2"/>
          <w:sz w:val="27"/>
          <w:szCs w:val="27"/>
        </w:rPr>
        <w:t xml:space="preserve"> </w:t>
      </w:r>
    </w:p>
    <w:p w:rsidR="00A81D68" w:rsidRPr="00A81D68" w:rsidRDefault="00A81D68"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1E213B" w:rsidRDefault="00A81D68"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08</w:t>
      </w:r>
      <w:r w:rsidR="00967B57" w:rsidRPr="00A81D68">
        <w:rPr>
          <w:rFonts w:ascii="Times New Roman" w:eastAsia="Times New Roman" w:hAnsi="Times New Roman" w:cs="Times New Roman"/>
          <w:sz w:val="28"/>
          <w:szCs w:val="28"/>
        </w:rPr>
        <w:t>.</w:t>
      </w:r>
      <w:r w:rsidR="000463CF" w:rsidRPr="00A81D68">
        <w:rPr>
          <w:rFonts w:ascii="Times New Roman" w:eastAsia="Times New Roman" w:hAnsi="Times New Roman" w:cs="Times New Roman"/>
          <w:sz w:val="28"/>
          <w:szCs w:val="28"/>
        </w:rPr>
        <w:t>02.2017</w:t>
      </w:r>
      <w:r w:rsidR="00967B57" w:rsidRPr="00A81D68">
        <w:rPr>
          <w:rFonts w:ascii="Times New Roman" w:eastAsia="Times New Roman" w:hAnsi="Times New Roman" w:cs="Times New Roman"/>
          <w:sz w:val="28"/>
          <w:szCs w:val="28"/>
        </w:rPr>
        <w:t xml:space="preserve">                                                                     </w:t>
      </w:r>
      <w:r w:rsidR="000463CF" w:rsidRPr="00A81D68">
        <w:rPr>
          <w:rFonts w:ascii="Times New Roman" w:eastAsia="Times New Roman" w:hAnsi="Times New Roman" w:cs="Times New Roman"/>
          <w:sz w:val="28"/>
          <w:szCs w:val="28"/>
        </w:rPr>
        <w:t xml:space="preserve">                            </w:t>
      </w:r>
      <w:r w:rsidR="000463CF">
        <w:rPr>
          <w:rFonts w:ascii="Times New Roman" w:eastAsia="Times New Roman" w:hAnsi="Times New Roman" w:cs="Times New Roman"/>
          <w:sz w:val="28"/>
          <w:szCs w:val="28"/>
        </w:rPr>
        <w:t>№ 0</w:t>
      </w:r>
      <w:r w:rsidR="00574196">
        <w:rPr>
          <w:rFonts w:ascii="Times New Roman" w:eastAsia="Times New Roman" w:hAnsi="Times New Roman" w:cs="Times New Roman"/>
          <w:sz w:val="28"/>
          <w:szCs w:val="28"/>
        </w:rPr>
        <w:t>5</w:t>
      </w:r>
    </w:p>
    <w:p w:rsidR="00967B57" w:rsidRPr="001E213B" w:rsidRDefault="000463CF" w:rsidP="00967B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с. Цингалы</w:t>
      </w: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0C1AC8" w:rsidRDefault="00EA1BFE" w:rsidP="000860D6">
      <w:pPr>
        <w:widowControl w:val="0"/>
        <w:tabs>
          <w:tab w:val="left" w:pos="4536"/>
        </w:tabs>
        <w:autoSpaceDE w:val="0"/>
        <w:autoSpaceDN w:val="0"/>
        <w:adjustRightInd w:val="0"/>
        <w:spacing w:after="0" w:line="240" w:lineRule="auto"/>
        <w:ind w:right="4535"/>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закупаемым муниципальными органами </w:t>
      </w:r>
      <w:r w:rsidR="000463CF">
        <w:rPr>
          <w:rFonts w:ascii="Times New Roman" w:hAnsi="Times New Roman" w:cs="Times New Roman"/>
          <w:bCs/>
          <w:sz w:val="28"/>
          <w:szCs w:val="28"/>
        </w:rPr>
        <w:t>сельского поселения Цингалы</w:t>
      </w:r>
      <w:r>
        <w:rPr>
          <w:rFonts w:ascii="Times New Roman" w:hAnsi="Times New Roman" w:cs="Times New Roman"/>
          <w:bCs/>
          <w:sz w:val="28"/>
          <w:szCs w:val="28"/>
        </w:rPr>
        <w:t xml:space="preserve"> </w:t>
      </w:r>
      <w:r w:rsidRPr="000C1AC8">
        <w:rPr>
          <w:rFonts w:ascii="Times New Roman" w:hAnsi="Times New Roman" w:cs="Times New Roman"/>
          <w:bCs/>
          <w:sz w:val="28"/>
          <w:szCs w:val="28"/>
        </w:rPr>
        <w:t>и подведомственными им</w:t>
      </w:r>
      <w:r>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0463CF">
        <w:rPr>
          <w:rFonts w:ascii="Times New Roman" w:hAnsi="Times New Roman" w:cs="Times New Roman"/>
          <w:sz w:val="28"/>
          <w:szCs w:val="28"/>
        </w:rPr>
        <w:t>сельского поселения Цингалы</w:t>
      </w:r>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w:t>
      </w:r>
      <w:r w:rsidR="000463CF">
        <w:rPr>
          <w:rFonts w:ascii="Times New Roman" w:hAnsi="Times New Roman" w:cstheme="minorBidi"/>
          <w:sz w:val="28"/>
          <w:szCs w:val="28"/>
        </w:rPr>
        <w:t>де сельского поселения Цингалы</w:t>
      </w:r>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w:t>
      </w:r>
      <w:r w:rsidR="000463CF">
        <w:rPr>
          <w:rFonts w:ascii="Times New Roman" w:hAnsi="Times New Roman" w:cs="Times New Roman"/>
          <w:sz w:val="28"/>
          <w:szCs w:val="28"/>
        </w:rPr>
        <w:t>о поселения Цингалы</w:t>
      </w:r>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0860D6" w:rsidRDefault="000860D6" w:rsidP="000463CF">
      <w:pPr>
        <w:pStyle w:val="ac"/>
        <w:ind w:firstLine="540"/>
        <w:jc w:val="both"/>
        <w:rPr>
          <w:rFonts w:ascii="Times New Roman" w:hAnsi="Times New Roman"/>
          <w:sz w:val="28"/>
          <w:szCs w:val="28"/>
        </w:rPr>
      </w:pPr>
      <w:r>
        <w:rPr>
          <w:rFonts w:ascii="Times New Roman" w:hAnsi="Times New Roman"/>
          <w:sz w:val="28"/>
          <w:szCs w:val="28"/>
        </w:rPr>
        <w:lastRenderedPageBreak/>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w:t>
      </w:r>
      <w:r w:rsidR="00EA1BFE" w:rsidRPr="00DA3E44">
        <w:rPr>
          <w:rFonts w:ascii="Times New Roman" w:hAnsi="Times New Roman"/>
          <w:sz w:val="28"/>
          <w:szCs w:val="28"/>
        </w:rPr>
        <w:t xml:space="preserve">на </w:t>
      </w:r>
      <w:r w:rsidR="00DA3E44">
        <w:rPr>
          <w:rFonts w:ascii="Times New Roman" w:hAnsi="Times New Roman"/>
          <w:sz w:val="28"/>
          <w:szCs w:val="28"/>
        </w:rPr>
        <w:t>главного бухгалтера ф</w:t>
      </w:r>
      <w:r w:rsidR="00E45674" w:rsidRPr="00DA3E44">
        <w:rPr>
          <w:rFonts w:ascii="Times New Roman" w:hAnsi="Times New Roman"/>
          <w:sz w:val="28"/>
          <w:szCs w:val="28"/>
        </w:rPr>
        <w:t>инансово-эк</w:t>
      </w:r>
      <w:r w:rsidR="00DA3E44">
        <w:rPr>
          <w:rFonts w:ascii="Times New Roman" w:hAnsi="Times New Roman"/>
          <w:sz w:val="28"/>
          <w:szCs w:val="28"/>
        </w:rPr>
        <w:t>ономического сектора</w:t>
      </w:r>
      <w:r w:rsidR="000463CF">
        <w:rPr>
          <w:rFonts w:ascii="Times New Roman" w:hAnsi="Times New Roman"/>
          <w:sz w:val="28"/>
          <w:szCs w:val="28"/>
        </w:rPr>
        <w:t xml:space="preserve"> АСП Цингалы</w:t>
      </w:r>
      <w:r w:rsidR="00DA3E44">
        <w:rPr>
          <w:rFonts w:ascii="Times New Roman" w:hAnsi="Times New Roman"/>
          <w:sz w:val="28"/>
          <w:szCs w:val="28"/>
        </w:rPr>
        <w:t>.</w:t>
      </w:r>
      <w:r w:rsidR="00E45674">
        <w:rPr>
          <w:rFonts w:ascii="Times New Roman" w:hAnsi="Times New Roman"/>
          <w:sz w:val="28"/>
          <w:szCs w:val="28"/>
        </w:rPr>
        <w:t xml:space="preserve"> </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w:t>
      </w:r>
      <w:r w:rsidR="000463CF">
        <w:rPr>
          <w:rFonts w:ascii="Times New Roman" w:hAnsi="Times New Roman"/>
          <w:sz w:val="28"/>
          <w:szCs w:val="28"/>
        </w:rPr>
        <w:t>ва сельского поселения Цингалы</w:t>
      </w:r>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proofErr w:type="spellStart"/>
      <w:r w:rsidR="000463CF">
        <w:rPr>
          <w:rFonts w:ascii="Times New Roman" w:hAnsi="Times New Roman"/>
          <w:sz w:val="28"/>
          <w:szCs w:val="28"/>
        </w:rPr>
        <w:t>А.И.Козлов</w:t>
      </w:r>
      <w:proofErr w:type="spellEnd"/>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0463CF">
        <w:rPr>
          <w:rFonts w:ascii="Times New Roman" w:eastAsia="Times New Roman" w:hAnsi="Times New Roman" w:cs="Times New Roman"/>
          <w:sz w:val="28"/>
          <w:szCs w:val="28"/>
          <w:lang w:eastAsia="ru-RU"/>
        </w:rPr>
        <w:t>АСП Цингалы</w:t>
      </w:r>
    </w:p>
    <w:p w:rsidR="003024B9" w:rsidRPr="00563D5B"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81D68">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w:t>
      </w:r>
      <w:r w:rsidR="000463CF">
        <w:rPr>
          <w:rFonts w:ascii="Times New Roman" w:eastAsia="Times New Roman" w:hAnsi="Times New Roman" w:cs="Times New Roman"/>
          <w:sz w:val="28"/>
          <w:szCs w:val="28"/>
          <w:lang w:eastAsia="ru-RU"/>
        </w:rPr>
        <w:t>02.2017</w:t>
      </w:r>
      <w:r>
        <w:rPr>
          <w:rFonts w:ascii="Times New Roman" w:eastAsia="Times New Roman" w:hAnsi="Times New Roman" w:cs="Times New Roman"/>
          <w:sz w:val="28"/>
          <w:szCs w:val="28"/>
          <w:lang w:eastAsia="ru-RU"/>
        </w:rPr>
        <w:t xml:space="preserve"> № </w:t>
      </w:r>
      <w:r w:rsidR="000463CF">
        <w:rPr>
          <w:rFonts w:ascii="Times New Roman" w:eastAsia="Times New Roman" w:hAnsi="Times New Roman" w:cs="Times New Roman"/>
          <w:sz w:val="28"/>
          <w:szCs w:val="28"/>
          <w:lang w:eastAsia="ru-RU"/>
        </w:rPr>
        <w:t>0</w:t>
      </w:r>
      <w:r w:rsidR="00574196">
        <w:rPr>
          <w:rFonts w:ascii="Times New Roman" w:eastAsia="Times New Roman" w:hAnsi="Times New Roman" w:cs="Times New Roman"/>
          <w:sz w:val="28"/>
          <w:szCs w:val="28"/>
          <w:lang w:eastAsia="ru-RU"/>
        </w:rPr>
        <w:t>5</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0463CF"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Цингалы</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0463CF">
        <w:rPr>
          <w:rFonts w:ascii="Times New Roman" w:hAnsi="Times New Roman" w:cs="Times New Roman"/>
          <w:sz w:val="28"/>
          <w:szCs w:val="28"/>
        </w:rPr>
        <w:t>сельского поселения Цингалы</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0"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Федеральный закон).</w:t>
      </w:r>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0463CF">
        <w:rPr>
          <w:rFonts w:ascii="Times New Roman" w:hAnsi="Times New Roman" w:cs="Times New Roman"/>
          <w:sz w:val="28"/>
          <w:szCs w:val="28"/>
        </w:rPr>
        <w:t>сельского поселения Цингалы</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1"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9A410D">
        <w:rPr>
          <w:rFonts w:ascii="Times New Roman" w:hAnsi="Times New Roman" w:cs="Times New Roman"/>
          <w:sz w:val="28"/>
          <w:szCs w:val="28"/>
        </w:rPr>
        <w:t xml:space="preserve">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2"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заключенных в отчетном финансовом году, в общем 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w:t>
      </w:r>
      <w:r w:rsidR="00D060FA" w:rsidRPr="006952C4">
        <w:rPr>
          <w:rFonts w:ascii="Times New Roman" w:hAnsi="Times New Roman" w:cs="Times New Roman"/>
          <w:sz w:val="28"/>
          <w:szCs w:val="28"/>
        </w:rPr>
        <w:lastRenderedPageBreak/>
        <w:t xml:space="preserve">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3"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w:t>
      </w:r>
      <w:proofErr w:type="gramEnd"/>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 xml:space="preserve">сельского поселения </w:t>
      </w:r>
      <w:r w:rsidR="00A81D68" w:rsidRPr="00D47C63">
        <w:rPr>
          <w:rFonts w:ascii="Times New Roman" w:hAnsi="Times New Roman" w:cs="Times New Roman"/>
          <w:sz w:val="28"/>
          <w:szCs w:val="28"/>
        </w:rPr>
        <w:t>Цингалы</w:t>
      </w:r>
      <w:r w:rsidR="00D060FA" w:rsidRPr="00D47C63">
        <w:rPr>
          <w:rFonts w:ascii="Times New Roman" w:hAnsi="Times New Roman" w:cs="Times New Roman"/>
          <w:sz w:val="28"/>
          <w:szCs w:val="28"/>
        </w:rPr>
        <w:t xml:space="preserve"> от </w:t>
      </w:r>
      <w:r w:rsidR="00970782" w:rsidRPr="00D47C63">
        <w:rPr>
          <w:rFonts w:ascii="Times New Roman" w:hAnsi="Times New Roman" w:cs="Times New Roman"/>
          <w:sz w:val="28"/>
          <w:szCs w:val="28"/>
        </w:rPr>
        <w:t>08</w:t>
      </w:r>
      <w:r w:rsidR="00D060FA" w:rsidRPr="00D47C63">
        <w:rPr>
          <w:rFonts w:ascii="Times New Roman" w:hAnsi="Times New Roman" w:cs="Times New Roman"/>
          <w:sz w:val="28"/>
          <w:szCs w:val="28"/>
        </w:rPr>
        <w:t xml:space="preserve"> </w:t>
      </w:r>
      <w:r w:rsidR="00574196" w:rsidRPr="00D47C63">
        <w:rPr>
          <w:rFonts w:ascii="Times New Roman" w:hAnsi="Times New Roman" w:cs="Times New Roman"/>
          <w:sz w:val="28"/>
          <w:szCs w:val="28"/>
        </w:rPr>
        <w:t>февраля 2017 года № 04</w:t>
      </w:r>
      <w:r w:rsidR="00D060FA" w:rsidRPr="00D47C63">
        <w:rPr>
          <w:rFonts w:ascii="Times New Roman" w:hAnsi="Times New Roman" w:cs="Times New Roman"/>
          <w:sz w:val="28"/>
          <w:szCs w:val="28"/>
        </w:rPr>
        <w:t xml:space="preserve"> «</w:t>
      </w:r>
      <w:r w:rsidR="006952C4" w:rsidRPr="00D47C63">
        <w:rPr>
          <w:rFonts w:ascii="Times New Roman" w:hAnsi="Times New Roman" w:cs="Times New Roman"/>
          <w:sz w:val="28"/>
          <w:szCs w:val="28"/>
        </w:rPr>
        <w:t xml:space="preserve">Об определении нормативных затрат на обеспечение функций муниципальных органов муниципального образования «Сельское поселение </w:t>
      </w:r>
      <w:r w:rsidR="00970782" w:rsidRPr="00D47C63">
        <w:rPr>
          <w:rFonts w:ascii="Times New Roman" w:hAnsi="Times New Roman" w:cs="Times New Roman"/>
          <w:sz w:val="28"/>
          <w:szCs w:val="28"/>
        </w:rPr>
        <w:t>Цингалы</w:t>
      </w:r>
      <w:r w:rsidR="006952C4" w:rsidRPr="00D47C63">
        <w:rPr>
          <w:rFonts w:ascii="Times New Roman" w:hAnsi="Times New Roman" w:cs="Times New Roman"/>
          <w:sz w:val="28"/>
          <w:szCs w:val="28"/>
        </w:rPr>
        <w:t>» и подведомственных им казенных учреждений»</w:t>
      </w:r>
      <w:r w:rsidR="00F66194" w:rsidRPr="00D47C63">
        <w:rPr>
          <w:rFonts w:ascii="Times New Roman" w:hAnsi="Times New Roman" w:cs="Times New Roman"/>
          <w:sz w:val="28"/>
          <w:szCs w:val="28"/>
        </w:rPr>
        <w:t xml:space="preserve"> </w:t>
      </w:r>
      <w:r w:rsidR="00F66194" w:rsidRPr="006952C4">
        <w:rPr>
          <w:rFonts w:ascii="Times New Roman" w:hAnsi="Times New Roman" w:cs="Times New Roman"/>
          <w:sz w:val="28"/>
          <w:szCs w:val="28"/>
        </w:rPr>
        <w:t xml:space="preserve">(далее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5"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6"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7"/>
          <w:headerReference w:type="first" r:id="rId18"/>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муниципальными органа</w:t>
      </w:r>
      <w:r w:rsidR="006440C3">
        <w:rPr>
          <w:rFonts w:ascii="Times New Roman" w:hAnsi="Times New Roman" w:cs="Times New Roman"/>
          <w:sz w:val="28"/>
          <w:szCs w:val="28"/>
        </w:rPr>
        <w:t>ми сельского поселения Цингалы</w:t>
      </w:r>
      <w:r>
        <w:rPr>
          <w:rFonts w:ascii="Times New Roman" w:hAnsi="Times New Roman" w:cs="Times New Roman"/>
          <w:sz w:val="28"/>
          <w:szCs w:val="28"/>
        </w:rPr>
        <w:t xml:space="preserve">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АСП Цингалы</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6440C3">
              <w:rPr>
                <w:rFonts w:ascii="Times New Roman" w:eastAsia="Times New Roman" w:hAnsi="Times New Roman" w:cs="Times New Roman"/>
                <w:sz w:val="20"/>
                <w:szCs w:val="20"/>
                <w:lang w:eastAsia="ru-RU"/>
              </w:rPr>
              <w:t>АСП Цингалы</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6440C3">
              <w:rPr>
                <w:rFonts w:ascii="Times New Roman" w:eastAsia="Times New Roman" w:hAnsi="Times New Roman" w:cs="Times New Roman"/>
                <w:sz w:val="20"/>
                <w:szCs w:val="20"/>
                <w:lang w:eastAsia="ru-RU"/>
              </w:rPr>
              <w:t>сельского поселения Цингалы</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сельского поселения Цингалы</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bookmarkStart w:id="4" w:name="_GoBack"/>
      <w:bookmarkEnd w:id="4"/>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w:t>
      </w:r>
      <w:r w:rsidR="006440C3">
        <w:rPr>
          <w:rFonts w:ascii="Times New Roman" w:hAnsi="Times New Roman" w:cs="Times New Roman"/>
          <w:sz w:val="28"/>
          <w:szCs w:val="28"/>
        </w:rPr>
        <w:t>ми сельского поселения Цингалы</w:t>
      </w:r>
      <w:r w:rsidR="00717426" w:rsidRPr="00EB59B0">
        <w:rPr>
          <w:rFonts w:ascii="Times New Roman" w:hAnsi="Times New Roman" w:cs="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885" w:type="dxa"/>
        <w:tblInd w:w="-318" w:type="dxa"/>
        <w:tblLayout w:type="fixed"/>
        <w:tblLook w:val="04A0" w:firstRow="1" w:lastRow="0" w:firstColumn="1" w:lastColumn="0" w:noHBand="0" w:noVBand="1"/>
      </w:tblPr>
      <w:tblGrid>
        <w:gridCol w:w="568"/>
        <w:gridCol w:w="851"/>
        <w:gridCol w:w="1701"/>
        <w:gridCol w:w="1984"/>
        <w:gridCol w:w="564"/>
        <w:gridCol w:w="697"/>
        <w:gridCol w:w="1671"/>
        <w:gridCol w:w="1671"/>
        <w:gridCol w:w="1671"/>
        <w:gridCol w:w="1636"/>
        <w:gridCol w:w="1871"/>
      </w:tblGrid>
      <w:tr w:rsidR="0058297C" w:rsidRPr="00276052" w:rsidTr="00584D97">
        <w:trPr>
          <w:trHeight w:val="4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054F9F" w:rsidP="003D3B5D">
            <w:pPr>
              <w:spacing w:after="0" w:line="240" w:lineRule="auto"/>
              <w:jc w:val="center"/>
              <w:rPr>
                <w:rFonts w:ascii="Times New Roman" w:eastAsia="Times New Roman" w:hAnsi="Times New Roman" w:cs="Times New Roman"/>
                <w:sz w:val="16"/>
                <w:szCs w:val="16"/>
                <w:lang w:eastAsia="ru-RU"/>
              </w:rPr>
            </w:pPr>
            <w:hyperlink r:id="rId21" w:history="1">
              <w:r w:rsidR="0058297C" w:rsidRPr="00276052">
                <w:rPr>
                  <w:rFonts w:ascii="Times New Roman" w:eastAsia="Times New Roman" w:hAnsi="Times New Roman" w:cs="Times New Roman"/>
                  <w:sz w:val="16"/>
                  <w:szCs w:val="16"/>
                  <w:lang w:eastAsia="ru-RU"/>
                </w:rPr>
                <w:t>Код по ОКПД</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765"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584D97">
        <w:trPr>
          <w:trHeight w:val="2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520"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584D97">
        <w:trPr>
          <w:trHeight w:val="20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6440C3">
              <w:rPr>
                <w:rFonts w:ascii="Times New Roman" w:eastAsia="Times New Roman" w:hAnsi="Times New Roman" w:cs="Times New Roman"/>
                <w:sz w:val="16"/>
                <w:szCs w:val="16"/>
                <w:lang w:eastAsia="ru-RU"/>
              </w:rPr>
              <w:t>сельского поселения Цингалы</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871"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584D97">
        <w:trPr>
          <w:trHeight w:val="15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871"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584D97">
        <w:trPr>
          <w:trHeight w:val="2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871"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584D97" w:rsidRPr="00DF1E82" w:rsidTr="00584D97">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портативные (ноутбуки, планшетные компьютеры)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xml:space="preserve">, поддержки 3G (UMTS), тип видеоадаптера, время </w:t>
            </w:r>
            <w:r w:rsidRPr="007E36C3">
              <w:rPr>
                <w:rFonts w:ascii="Times New Roman" w:eastAsia="Times New Roman" w:hAnsi="Times New Roman" w:cs="Times New Roman"/>
                <w:color w:val="000000"/>
                <w:sz w:val="18"/>
                <w:szCs w:val="18"/>
                <w:lang w:eastAsia="ru-RU"/>
              </w:rPr>
              <w:lastRenderedPageBreak/>
              <w:t>работы,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DF1E82" w:rsidTr="00584D97">
        <w:trPr>
          <w:trHeight w:val="16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DF1E82" w:rsidTr="00584D97">
        <w:trPr>
          <w:trHeight w:val="16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30.02.16</w:t>
            </w:r>
          </w:p>
        </w:tc>
        <w:tc>
          <w:tcPr>
            <w:tcW w:w="1701"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w:t>
            </w:r>
            <w:r w:rsidRPr="007E36C3">
              <w:rPr>
                <w:rFonts w:ascii="Times New Roman" w:eastAsia="Times New Roman" w:hAnsi="Times New Roman" w:cs="Times New Roman"/>
                <w:color w:val="000000"/>
                <w:sz w:val="18"/>
                <w:szCs w:val="18"/>
                <w:lang w:eastAsia="ru-RU"/>
              </w:rPr>
              <w:lastRenderedPageBreak/>
              <w:t>модулей 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9D5429" w:rsidTr="00584D97">
        <w:trPr>
          <w:trHeight w:val="106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32.20.11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Аппаратура</w:t>
            </w:r>
            <w:proofErr w:type="gramEnd"/>
            <w:r w:rsidRPr="007E36C3">
              <w:rPr>
                <w:rFonts w:ascii="Times New Roman" w:eastAsia="Times New Roman" w:hAnsi="Times New Roman" w:cs="Times New Roman"/>
                <w:color w:val="000000"/>
                <w:sz w:val="18"/>
                <w:szCs w:val="18"/>
                <w:lang w:eastAsia="ru-RU"/>
              </w:rPr>
              <w:t xml:space="preserve"> передающая для радиосвязи, радиовещания и телевидения (телефоны мобильные)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584D97" w:rsidRPr="009D5429" w:rsidRDefault="00584D97"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584D97" w:rsidRPr="009D5429" w:rsidRDefault="00584D97"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584D97" w:rsidRPr="009D5429"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584D97" w:rsidRPr="009D5429" w:rsidRDefault="00584D97" w:rsidP="00A71906">
            <w:pPr>
              <w:spacing w:after="0" w:line="240" w:lineRule="auto"/>
              <w:jc w:val="center"/>
              <w:rPr>
                <w:rFonts w:ascii="Times New Roman" w:eastAsia="Times New Roman" w:hAnsi="Times New Roman" w:cs="Times New Roman"/>
                <w:sz w:val="16"/>
                <w:szCs w:val="16"/>
                <w:lang w:eastAsia="ru-RU"/>
              </w:rPr>
            </w:pPr>
          </w:p>
        </w:tc>
      </w:tr>
      <w:tr w:rsidR="00584D97" w:rsidRPr="00FA51D3" w:rsidTr="00584D97">
        <w:trPr>
          <w:trHeight w:val="48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tc>
        <w:tc>
          <w:tcPr>
            <w:tcW w:w="697"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r>
      <w:tr w:rsidR="00584D97" w:rsidRPr="00276052" w:rsidTr="00584D97">
        <w:trPr>
          <w:trHeight w:val="103"/>
        </w:trPr>
        <w:tc>
          <w:tcPr>
            <w:tcW w:w="568"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584D97" w:rsidRPr="00503782" w:rsidRDefault="000718EC" w:rsidP="0001224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более 1</w:t>
            </w:r>
            <w:r w:rsidR="00584D97" w:rsidRPr="00503782">
              <w:rPr>
                <w:rFonts w:ascii="Times New Roman" w:eastAsia="Times New Roman" w:hAnsi="Times New Roman" w:cs="Times New Roman"/>
                <w:sz w:val="16"/>
                <w:szCs w:val="16"/>
                <w:lang w:eastAsia="ru-RU"/>
              </w:rPr>
              <w:t xml:space="preserve"> млн.</w:t>
            </w:r>
          </w:p>
        </w:tc>
        <w:tc>
          <w:tcPr>
            <w:tcW w:w="1671"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nil"/>
              <w:left w:val="nil"/>
              <w:bottom w:val="single" w:sz="4" w:space="0" w:color="auto"/>
              <w:right w:val="single" w:sz="4" w:space="0" w:color="auto"/>
            </w:tcBorders>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r>
      <w:tr w:rsidR="000718EC" w:rsidRPr="0030109E" w:rsidTr="00D90CD4">
        <w:trPr>
          <w:trHeight w:val="14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w:t>
            </w:r>
            <w:r w:rsidRPr="007E36C3">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2908B2">
              <w:rPr>
                <w:rFonts w:ascii="Times New Roman" w:eastAsia="Times New Roman" w:hAnsi="Times New Roman" w:cs="Times New Roman"/>
                <w:color w:val="000000"/>
                <w:sz w:val="18"/>
                <w:szCs w:val="18"/>
                <w:lang w:eastAsia="ru-RU"/>
              </w:rPr>
              <w:t>Мебель для сидения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30109E" w:rsidRDefault="000718EC"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30109E" w:rsidRDefault="000718EC"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871" w:type="dxa"/>
            <w:tcBorders>
              <w:top w:val="single" w:sz="4" w:space="0" w:color="auto"/>
              <w:left w:val="single" w:sz="4" w:space="0" w:color="auto"/>
              <w:bottom w:val="single" w:sz="4" w:space="0" w:color="auto"/>
              <w:right w:val="single" w:sz="4" w:space="0" w:color="auto"/>
            </w:tcBorders>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r>
      <w:tr w:rsidR="000718EC" w:rsidRPr="00830EA0" w:rsidTr="00D66FF7">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Pr="007E36C3">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 административных помещений, учебных заведений, учреждений культуры и т.п.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70782" w:rsidRDefault="00970782" w:rsidP="00E3560C">
      <w:pPr>
        <w:widowControl w:val="0"/>
        <w:tabs>
          <w:tab w:val="left" w:pos="562"/>
        </w:tabs>
        <w:autoSpaceDE w:val="0"/>
        <w:autoSpaceDN w:val="0"/>
        <w:spacing w:after="0" w:line="240" w:lineRule="auto"/>
        <w:jc w:val="both"/>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584D97" w:rsidRPr="007E36C3" w:rsidRDefault="00584D97" w:rsidP="000718EC">
      <w:pPr>
        <w:widowControl w:val="0"/>
        <w:autoSpaceDE w:val="0"/>
        <w:autoSpaceDN w:val="0"/>
        <w:spacing w:after="0" w:line="240" w:lineRule="auto"/>
        <w:rPr>
          <w:rFonts w:ascii="Times New Roman" w:hAnsi="Times New Roman" w:cs="Times New Roman"/>
          <w:sz w:val="18"/>
          <w:szCs w:val="18"/>
        </w:rPr>
      </w:pPr>
    </w:p>
    <w:p w:rsidR="00584D97" w:rsidRPr="007E36C3" w:rsidRDefault="00584D97" w:rsidP="00584D97">
      <w:pPr>
        <w:widowControl w:val="0"/>
        <w:autoSpaceDE w:val="0"/>
        <w:autoSpaceDN w:val="0"/>
        <w:spacing w:after="0" w:line="240" w:lineRule="auto"/>
        <w:jc w:val="right"/>
        <w:rPr>
          <w:rFonts w:ascii="Times New Roman" w:hAnsi="Times New Roman" w:cs="Times New Roman"/>
          <w:sz w:val="20"/>
          <w:szCs w:val="20"/>
        </w:rPr>
      </w:pPr>
    </w:p>
    <w:p w:rsidR="00970782" w:rsidRPr="00970782" w:rsidRDefault="00970782" w:rsidP="00970782">
      <w:pPr>
        <w:rPr>
          <w:rFonts w:ascii="Times New Roman" w:hAnsi="Times New Roman" w:cs="Times New Roman"/>
          <w:sz w:val="18"/>
          <w:szCs w:val="18"/>
        </w:rPr>
      </w:pPr>
    </w:p>
    <w:p w:rsidR="00970782" w:rsidRDefault="00970782" w:rsidP="00970782">
      <w:pPr>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Default="00970782" w:rsidP="00970782">
      <w:pPr>
        <w:tabs>
          <w:tab w:val="left" w:pos="2895"/>
        </w:tabs>
        <w:rPr>
          <w:rFonts w:ascii="Times New Roman" w:hAnsi="Times New Roman" w:cs="Times New Roman"/>
          <w:sz w:val="18"/>
          <w:szCs w:val="18"/>
        </w:rPr>
      </w:pPr>
      <w:r>
        <w:rPr>
          <w:rFonts w:ascii="Times New Roman" w:hAnsi="Times New Roman" w:cs="Times New Roman"/>
          <w:sz w:val="18"/>
          <w:szCs w:val="18"/>
        </w:rPr>
        <w:tab/>
      </w:r>
    </w:p>
    <w:p w:rsidR="00970782" w:rsidRDefault="00970782" w:rsidP="00970782">
      <w:pPr>
        <w:rPr>
          <w:rFonts w:ascii="Times New Roman" w:hAnsi="Times New Roman" w:cs="Times New Roman"/>
          <w:sz w:val="18"/>
          <w:szCs w:val="18"/>
        </w:rPr>
      </w:pPr>
    </w:p>
    <w:p w:rsidR="009A2094" w:rsidRPr="00970782" w:rsidRDefault="009A2094" w:rsidP="00970782">
      <w:pPr>
        <w:rPr>
          <w:rFonts w:ascii="Times New Roman" w:hAnsi="Times New Roman" w:cs="Times New Roman"/>
          <w:sz w:val="18"/>
          <w:szCs w:val="18"/>
        </w:rPr>
        <w:sectPr w:rsidR="009A2094" w:rsidRPr="00970782" w:rsidSect="00A71906">
          <w:headerReference w:type="default" r:id="rId22"/>
          <w:footerReference w:type="default" r:id="rId23"/>
          <w:pgSz w:w="16838" w:h="11906" w:orient="landscape"/>
          <w:pgMar w:top="1418" w:right="1247" w:bottom="1134" w:left="1588" w:header="709" w:footer="981" w:gutter="0"/>
          <w:cols w:space="708"/>
          <w:titlePg/>
          <w:docGrid w:linePitch="360"/>
        </w:sectPr>
      </w:pPr>
    </w:p>
    <w:p w:rsidR="009A2094" w:rsidRPr="00921FCE" w:rsidRDefault="009A2094" w:rsidP="00970782">
      <w:pPr>
        <w:widowControl w:val="0"/>
        <w:tabs>
          <w:tab w:val="left" w:pos="562"/>
        </w:tabs>
        <w:autoSpaceDE w:val="0"/>
        <w:autoSpaceDN w:val="0"/>
        <w:spacing w:after="0" w:line="240" w:lineRule="auto"/>
        <w:jc w:val="both"/>
        <w:rPr>
          <w:rFonts w:ascii="Times New Roman" w:hAnsi="Times New Roman" w:cs="Times New Roman"/>
          <w:sz w:val="18"/>
          <w:szCs w:val="18"/>
        </w:rPr>
      </w:pPr>
    </w:p>
    <w:sectPr w:rsidR="009A2094" w:rsidRPr="00921FCE" w:rsidSect="00E3560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9F" w:rsidRDefault="00054F9F" w:rsidP="002F430D">
      <w:pPr>
        <w:spacing w:after="0" w:line="240" w:lineRule="auto"/>
      </w:pPr>
      <w:r>
        <w:separator/>
      </w:r>
    </w:p>
  </w:endnote>
  <w:endnote w:type="continuationSeparator" w:id="0">
    <w:p w:rsidR="00054F9F" w:rsidRDefault="00054F9F"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97" w:rsidRPr="00FB65D9" w:rsidRDefault="00584D97"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9F" w:rsidRDefault="00054F9F" w:rsidP="002F430D">
      <w:pPr>
        <w:spacing w:after="0" w:line="240" w:lineRule="auto"/>
      </w:pPr>
      <w:r>
        <w:separator/>
      </w:r>
    </w:p>
  </w:footnote>
  <w:footnote w:type="continuationSeparator" w:id="0">
    <w:p w:rsidR="00054F9F" w:rsidRDefault="00054F9F"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584D97" w:rsidRDefault="00584D97">
        <w:pPr>
          <w:pStyle w:val="a4"/>
          <w:jc w:val="center"/>
        </w:pPr>
        <w:r>
          <w:fldChar w:fldCharType="begin"/>
        </w:r>
        <w:r>
          <w:instrText xml:space="preserve"> PAGE   \* MERGEFORMAT </w:instrText>
        </w:r>
        <w:r>
          <w:fldChar w:fldCharType="separate"/>
        </w:r>
        <w:r w:rsidR="00115B77">
          <w:rPr>
            <w:noProof/>
          </w:rPr>
          <w:t>5</w:t>
        </w:r>
        <w:r>
          <w:rPr>
            <w:noProof/>
          </w:rPr>
          <w:fldChar w:fldCharType="end"/>
        </w:r>
      </w:p>
    </w:sdtContent>
  </w:sdt>
  <w:p w:rsidR="00584D97" w:rsidRDefault="00584D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97" w:rsidRDefault="00584D97">
    <w:pPr>
      <w:pStyle w:val="a4"/>
      <w:jc w:val="center"/>
    </w:pPr>
  </w:p>
  <w:p w:rsidR="00584D97" w:rsidRDefault="00584D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584D97" w:rsidRDefault="00584D97">
        <w:pPr>
          <w:pStyle w:val="a4"/>
          <w:jc w:val="center"/>
        </w:pPr>
        <w:r>
          <w:fldChar w:fldCharType="begin"/>
        </w:r>
        <w:r>
          <w:instrText>PAGE   \* MERGEFORMAT</w:instrText>
        </w:r>
        <w:r>
          <w:fldChar w:fldCharType="separate"/>
        </w:r>
        <w:r w:rsidR="00115B77">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10861"/>
    <w:rsid w:val="0001224A"/>
    <w:rsid w:val="000373E6"/>
    <w:rsid w:val="0004250D"/>
    <w:rsid w:val="00042FD8"/>
    <w:rsid w:val="000463CF"/>
    <w:rsid w:val="0005039E"/>
    <w:rsid w:val="00054060"/>
    <w:rsid w:val="00054F9F"/>
    <w:rsid w:val="000647D6"/>
    <w:rsid w:val="0006723F"/>
    <w:rsid w:val="00071713"/>
    <w:rsid w:val="000718EC"/>
    <w:rsid w:val="00080A48"/>
    <w:rsid w:val="000836B8"/>
    <w:rsid w:val="000860D6"/>
    <w:rsid w:val="0008785E"/>
    <w:rsid w:val="0009031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5B77"/>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B2FA7"/>
    <w:rsid w:val="001B5F6C"/>
    <w:rsid w:val="001D2E01"/>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373D9"/>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74196"/>
    <w:rsid w:val="0058297C"/>
    <w:rsid w:val="005839CF"/>
    <w:rsid w:val="00584D97"/>
    <w:rsid w:val="005973FE"/>
    <w:rsid w:val="0059789D"/>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440C3"/>
    <w:rsid w:val="00651781"/>
    <w:rsid w:val="00651D89"/>
    <w:rsid w:val="00657134"/>
    <w:rsid w:val="00657556"/>
    <w:rsid w:val="00665551"/>
    <w:rsid w:val="00681AA9"/>
    <w:rsid w:val="00681C39"/>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37F4B"/>
    <w:rsid w:val="00740712"/>
    <w:rsid w:val="007615B1"/>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0EA0"/>
    <w:rsid w:val="008313DF"/>
    <w:rsid w:val="00832636"/>
    <w:rsid w:val="008348F5"/>
    <w:rsid w:val="008445AC"/>
    <w:rsid w:val="00844617"/>
    <w:rsid w:val="00846A52"/>
    <w:rsid w:val="00856E36"/>
    <w:rsid w:val="008602AE"/>
    <w:rsid w:val="00871A52"/>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62003"/>
    <w:rsid w:val="009623FA"/>
    <w:rsid w:val="00963B15"/>
    <w:rsid w:val="00964E89"/>
    <w:rsid w:val="00967B57"/>
    <w:rsid w:val="009703BD"/>
    <w:rsid w:val="00970782"/>
    <w:rsid w:val="00973ADC"/>
    <w:rsid w:val="00983B0C"/>
    <w:rsid w:val="0099644A"/>
    <w:rsid w:val="009A0645"/>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1D68"/>
    <w:rsid w:val="00A86986"/>
    <w:rsid w:val="00A946F7"/>
    <w:rsid w:val="00A97DFC"/>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347"/>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746A"/>
    <w:rsid w:val="00D27CFF"/>
    <w:rsid w:val="00D4768A"/>
    <w:rsid w:val="00D47C63"/>
    <w:rsid w:val="00D47E0F"/>
    <w:rsid w:val="00D559DA"/>
    <w:rsid w:val="00D56AF2"/>
    <w:rsid w:val="00D60BAB"/>
    <w:rsid w:val="00D647C8"/>
    <w:rsid w:val="00D76561"/>
    <w:rsid w:val="00D86CDB"/>
    <w:rsid w:val="00D86FF9"/>
    <w:rsid w:val="00D97FD8"/>
    <w:rsid w:val="00DA3E44"/>
    <w:rsid w:val="00DA7813"/>
    <w:rsid w:val="00DB1B1B"/>
    <w:rsid w:val="00DB243C"/>
    <w:rsid w:val="00DB6965"/>
    <w:rsid w:val="00DD0ADE"/>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395B"/>
    <w:rsid w:val="00E340B1"/>
    <w:rsid w:val="00E35434"/>
    <w:rsid w:val="00E3560C"/>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DA9B6B8B7B71ED3A84F82A4957D8EC7F8D0342B06DF3Cg8x6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C5ABD5693B8FA91776D907BA152577892ECAAB0B1B4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8Y5S5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1C0163D0409F53E7A11DB0B6EB328E8FA6FD263AA59B2AEAA85AE4673A8ED8865F0F77FA8D2CC776e8J" TargetMode="External"/><Relationship Id="rId20" Type="http://schemas.openxmlformats.org/officeDocument/2006/relationships/hyperlink" Target="consultantplus://offline/ref=CC5ABD5693B8FA91776D907BA152577892ECAEB3B7B2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DY5S1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2D1BF2B46C294B2A2CDB0C20E41E495DDF6173DAC12844AF1DFD7694DEC160E9879B0EAFD6B79A9M0d8J" TargetMode="External"/><Relationship Id="rId23" Type="http://schemas.openxmlformats.org/officeDocument/2006/relationships/footer" Target="footer1.xml"/><Relationship Id="rId10" Type="http://schemas.openxmlformats.org/officeDocument/2006/relationships/hyperlink" Target="consultantplus://offline/ref=58653907AD80072C8F0A91FCA4C0CD3FAAF0819E2128AFE77AA618994616131D6CD11C2F2B869268J6Y4L" TargetMode="External"/><Relationship Id="rId19" Type="http://schemas.openxmlformats.org/officeDocument/2006/relationships/hyperlink" Target="consultantplus://offline/ref=CC5ABD5693B8FA91776D907BA152577892ECAAB0B1B4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B615-1AED-4B1B-889A-8A04E5E7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2655</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a</cp:lastModifiedBy>
  <cp:revision>10</cp:revision>
  <cp:lastPrinted>2017-04-24T06:58:00Z</cp:lastPrinted>
  <dcterms:created xsi:type="dcterms:W3CDTF">2017-02-07T15:32:00Z</dcterms:created>
  <dcterms:modified xsi:type="dcterms:W3CDTF">2017-04-24T07:02:00Z</dcterms:modified>
</cp:coreProperties>
</file>